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5F01E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F01E4" w:rsidRDefault="00B06B24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1E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F01E4" w:rsidRDefault="00B06B24">
            <w:pPr>
              <w:pStyle w:val="ConsPlusTitlePage0"/>
              <w:jc w:val="center"/>
            </w:pPr>
            <w:r>
              <w:rPr>
                <w:sz w:val="48"/>
              </w:rPr>
              <w:t>"ГОСТ Р 70016-2022. Национальный стандарт Российской Федерации. Бассейны для плавания. Дорожки разделительные. Технические условия"</w:t>
            </w:r>
            <w:r>
              <w:rPr>
                <w:sz w:val="48"/>
              </w:rPr>
              <w:br/>
              <w:t>(утв. и введен в действие Приказом Росстандарта от 15.02.2022 N 73-ст)</w:t>
            </w:r>
          </w:p>
        </w:tc>
      </w:tr>
      <w:tr w:rsidR="005F01E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F01E4" w:rsidRDefault="00B06B2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5F01E4" w:rsidRDefault="005F01E4">
      <w:pPr>
        <w:pStyle w:val="ConsPlusNormal0"/>
        <w:sectPr w:rsidR="005F01E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B68DA" w:rsidRDefault="00CB68DA" w:rsidP="00CB68DA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Источник публикации</w:t>
      </w:r>
    </w:p>
    <w:p w:rsidR="00CB68DA" w:rsidRDefault="00CB68DA" w:rsidP="00CB68DA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М.: ФГБУ "РСТ", 2022</w:t>
      </w:r>
    </w:p>
    <w:p w:rsidR="00CB68DA" w:rsidRDefault="00CB68DA" w:rsidP="00CB68DA">
      <w:pPr>
        <w:autoSpaceDE w:val="0"/>
        <w:autoSpaceDN w:val="0"/>
        <w:adjustRightInd w:val="0"/>
        <w:spacing w:before="20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Примечание к документу</w:t>
      </w:r>
    </w:p>
    <w:p w:rsidR="00CB68DA" w:rsidRDefault="00CB68DA" w:rsidP="00CB68DA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Текст данного документа приведен с учетом </w:t>
      </w:r>
      <w:hyperlink r:id="rId9" w:history="1">
        <w:r>
          <w:rPr>
            <w:rFonts w:ascii="Tahoma" w:hAnsi="Tahoma" w:cs="Tahoma"/>
            <w:color w:val="0000FF"/>
          </w:rPr>
          <w:t>поправки</w:t>
        </w:r>
      </w:hyperlink>
      <w:r>
        <w:rPr>
          <w:rFonts w:ascii="Tahoma" w:hAnsi="Tahoma" w:cs="Tahoma"/>
        </w:rPr>
        <w:t>, опубликованной в "ИУС", N 4, 2025.</w:t>
      </w:r>
    </w:p>
    <w:p w:rsidR="00CB68DA" w:rsidRDefault="00CB68DA" w:rsidP="00CB68DA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ascii="Tahoma" w:hAnsi="Tahoma" w:cs="Tahoma"/>
          <w:sz w:val="2"/>
          <w:szCs w:val="2"/>
        </w:rPr>
      </w:pPr>
    </w:p>
    <w:p w:rsidR="00CB68DA" w:rsidRDefault="00CB68DA" w:rsidP="00CB68DA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Документ </w:t>
      </w:r>
      <w:hyperlink r:id="rId10" w:history="1">
        <w:r>
          <w:rPr>
            <w:rFonts w:ascii="Tahoma" w:hAnsi="Tahoma" w:cs="Tahoma"/>
            <w:color w:val="0000FF"/>
          </w:rPr>
          <w:t>введен</w:t>
        </w:r>
      </w:hyperlink>
      <w:r>
        <w:rPr>
          <w:rFonts w:ascii="Tahoma" w:hAnsi="Tahoma" w:cs="Tahoma"/>
        </w:rPr>
        <w:t xml:space="preserve"> в действие с 01.07.2022.</w:t>
      </w:r>
    </w:p>
    <w:p w:rsidR="00CB68DA" w:rsidRDefault="00CB68DA" w:rsidP="00CB68DA">
      <w:pPr>
        <w:autoSpaceDE w:val="0"/>
        <w:autoSpaceDN w:val="0"/>
        <w:adjustRightInd w:val="0"/>
        <w:spacing w:before="20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Название документа</w:t>
      </w:r>
    </w:p>
    <w:p w:rsidR="00CB68DA" w:rsidRDefault="00CB68DA" w:rsidP="00CB68DA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"ГОСТ Р 70016-2022. Национальный стандарт Российской Федерации. Бассейны для плавания. Дорожки разделительные. Технические условия"</w:t>
      </w:r>
    </w:p>
    <w:p w:rsidR="00CB68DA" w:rsidRDefault="00CB68DA" w:rsidP="00CB68DA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(утв. и введен в действие Приказом Росстандарта от 15.02.2022 N 73-ст)</w:t>
      </w:r>
    </w:p>
    <w:p w:rsidR="00CB68DA" w:rsidRDefault="00CB68DA" w:rsidP="00CB68DA">
      <w:pPr>
        <w:autoSpaceDE w:val="0"/>
        <w:autoSpaceDN w:val="0"/>
        <w:adjustRightInd w:val="0"/>
        <w:spacing w:before="20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Номер в ИБ</w:t>
      </w:r>
    </w:p>
    <w:p w:rsidR="00CB68DA" w:rsidRDefault="00CB68DA" w:rsidP="00CB68DA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33846</w:t>
      </w:r>
    </w:p>
    <w:p w:rsidR="00CB68DA" w:rsidRDefault="00CB68DA" w:rsidP="00CB68DA">
      <w:pPr>
        <w:autoSpaceDE w:val="0"/>
        <w:autoSpaceDN w:val="0"/>
        <w:adjustRightInd w:val="0"/>
        <w:spacing w:before="20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Когда получен</w:t>
      </w:r>
    </w:p>
    <w:p w:rsidR="00CB68DA" w:rsidRDefault="00CB68DA" w:rsidP="00CB68DA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11.09.2024</w:t>
      </w:r>
    </w:p>
    <w:p w:rsidR="005F01E4" w:rsidRDefault="005F01E4">
      <w:pPr>
        <w:pStyle w:val="ConsPlusNormal0"/>
        <w:ind w:firstLine="540"/>
        <w:jc w:val="both"/>
        <w:outlineLvl w:val="0"/>
      </w:pPr>
      <w:bookmarkStart w:id="0" w:name="_GoBack"/>
      <w:bookmarkEnd w:id="0"/>
    </w:p>
    <w:p w:rsidR="005F01E4" w:rsidRDefault="00B06B24">
      <w:pPr>
        <w:pStyle w:val="ConsPlusNormal0"/>
        <w:jc w:val="right"/>
        <w:outlineLvl w:val="0"/>
      </w:pPr>
      <w:r>
        <w:t>Утвержден и введен в действие</w:t>
      </w:r>
    </w:p>
    <w:p w:rsidR="005F01E4" w:rsidRDefault="00B06B24">
      <w:pPr>
        <w:pStyle w:val="ConsPlusNormal0"/>
        <w:jc w:val="right"/>
      </w:pPr>
      <w:hyperlink r:id="rId11" w:tooltip="Приказ Росстандарта от 15.02.2022 N 73-ст &quot;Об утверждении национального стандарта Российской Федерации&quot; {КонсультантПлюс}">
        <w:r>
          <w:rPr>
            <w:color w:val="0000FF"/>
          </w:rPr>
          <w:t>Приказом</w:t>
        </w:r>
      </w:hyperlink>
      <w:r>
        <w:t xml:space="preserve"> Федеральн</w:t>
      </w:r>
      <w:r>
        <w:t>ого</w:t>
      </w:r>
    </w:p>
    <w:p w:rsidR="005F01E4" w:rsidRDefault="00B06B24">
      <w:pPr>
        <w:pStyle w:val="ConsPlusNormal0"/>
        <w:jc w:val="right"/>
      </w:pPr>
      <w:r>
        <w:t>агентства по техническому</w:t>
      </w:r>
    </w:p>
    <w:p w:rsidR="005F01E4" w:rsidRDefault="00B06B24">
      <w:pPr>
        <w:pStyle w:val="ConsPlusNormal0"/>
        <w:jc w:val="right"/>
      </w:pPr>
      <w:r>
        <w:t>регулированию и метрологии</w:t>
      </w:r>
    </w:p>
    <w:p w:rsidR="005F01E4" w:rsidRDefault="00B06B24">
      <w:pPr>
        <w:pStyle w:val="ConsPlusNormal0"/>
        <w:jc w:val="right"/>
      </w:pPr>
      <w:r>
        <w:t>от 15 февраля 2022 г. N 73-ст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Title0"/>
        <w:jc w:val="center"/>
      </w:pPr>
      <w:r>
        <w:t>НАЦИОНАЛЬНЫЙ СТАНДАРТ РОССИЙСКОЙ ФЕДЕРАЦИИ</w:t>
      </w:r>
    </w:p>
    <w:p w:rsidR="005F01E4" w:rsidRDefault="005F01E4">
      <w:pPr>
        <w:pStyle w:val="ConsPlusTitle0"/>
        <w:jc w:val="center"/>
      </w:pPr>
    </w:p>
    <w:p w:rsidR="005F01E4" w:rsidRDefault="00B06B24">
      <w:pPr>
        <w:pStyle w:val="ConsPlusTitle0"/>
        <w:jc w:val="center"/>
      </w:pPr>
      <w:r>
        <w:t>БАССЕЙНЫ ДЛЯ ПЛАВАНИЯ</w:t>
      </w:r>
    </w:p>
    <w:p w:rsidR="005F01E4" w:rsidRDefault="005F01E4">
      <w:pPr>
        <w:pStyle w:val="ConsPlusTitle0"/>
        <w:jc w:val="center"/>
      </w:pPr>
    </w:p>
    <w:p w:rsidR="005F01E4" w:rsidRDefault="00B06B24">
      <w:pPr>
        <w:pStyle w:val="ConsPlusTitle0"/>
        <w:jc w:val="center"/>
      </w:pPr>
      <w:r>
        <w:t>ДОРОЖКИ РАЗДЕЛИТЕЛЬНЫЕ</w:t>
      </w:r>
    </w:p>
    <w:p w:rsidR="005F01E4" w:rsidRDefault="005F01E4">
      <w:pPr>
        <w:pStyle w:val="ConsPlusTitle0"/>
        <w:jc w:val="center"/>
      </w:pPr>
    </w:p>
    <w:p w:rsidR="005F01E4" w:rsidRDefault="00B06B24">
      <w:pPr>
        <w:pStyle w:val="ConsPlusTitle0"/>
        <w:jc w:val="center"/>
      </w:pPr>
      <w:r>
        <w:t>ТЕХНИЧЕСКИЕ УСЛОВИЯ</w:t>
      </w:r>
    </w:p>
    <w:p w:rsidR="005F01E4" w:rsidRDefault="005F01E4">
      <w:pPr>
        <w:pStyle w:val="ConsPlusTitle0"/>
        <w:jc w:val="center"/>
      </w:pPr>
    </w:p>
    <w:p w:rsidR="005F01E4" w:rsidRDefault="00B06B24">
      <w:pPr>
        <w:pStyle w:val="ConsPlusTitle0"/>
        <w:jc w:val="center"/>
      </w:pPr>
      <w:r>
        <w:t>Swimming pools. Lane ropes. Specifications</w:t>
      </w:r>
    </w:p>
    <w:p w:rsidR="005F01E4" w:rsidRDefault="005F01E4">
      <w:pPr>
        <w:pStyle w:val="ConsPlusTitle0"/>
        <w:jc w:val="center"/>
      </w:pPr>
    </w:p>
    <w:p w:rsidR="005F01E4" w:rsidRDefault="00B06B24">
      <w:pPr>
        <w:pStyle w:val="ConsPlusTitle0"/>
        <w:jc w:val="center"/>
      </w:pPr>
      <w:r>
        <w:t>ГОСТ Р 70016-2022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jc w:val="right"/>
      </w:pPr>
      <w:r>
        <w:t xml:space="preserve">ОКС </w:t>
      </w:r>
      <w:hyperlink r:id="rId12" w:tooltip="&quot;ОК 001-2021 (ИСО МКС). Общероссийский классификатор стандартов&quot; (утв. приказом Росстандарта от 19.11.2021 N 1506-ст) (ред. от 15.08.2023) {КонсультантПлюс}">
        <w:r>
          <w:rPr>
            <w:color w:val="0000FF"/>
          </w:rPr>
          <w:t>97.220.40</w:t>
        </w:r>
      </w:hyperlink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jc w:val="right"/>
      </w:pPr>
      <w:r>
        <w:rPr>
          <w:b/>
        </w:rPr>
        <w:t>Дата введения</w:t>
      </w:r>
    </w:p>
    <w:p w:rsidR="005F01E4" w:rsidRDefault="00B06B24">
      <w:pPr>
        <w:pStyle w:val="ConsPlusNormal0"/>
        <w:jc w:val="right"/>
      </w:pPr>
      <w:r>
        <w:rPr>
          <w:b/>
        </w:rPr>
        <w:t>1 июля 2022 года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Title0"/>
        <w:jc w:val="center"/>
        <w:outlineLvl w:val="1"/>
      </w:pPr>
      <w:r>
        <w:t>Предисловие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ind w:firstLine="540"/>
        <w:jc w:val="both"/>
      </w:pPr>
      <w:r>
        <w:t>1 РАЗРАБОТАН Ассоциацией Саморегулируемой организацией "Отраслевое объединение национальных производителей в сфере физической культуры и спорта "Промспорт" (СРО "Промспорт")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2 ВНЕ</w:t>
      </w:r>
      <w:r>
        <w:t>СЕН Техническим комитетом по стандартизации ТК 444 "Спортивные и туристские изделия, оборудование, инвентарь, физкультурные и спортивные услуги"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 xml:space="preserve">3 УТВЕРЖДЕН И ВВЕДЕН В ДЕЙСТВИЕ </w:t>
      </w:r>
      <w:hyperlink r:id="rId13" w:tooltip="Приказ Росстандарта от 15.02.2022 N 73-ст &quot;Об утверждении национального стандарта Российской Федерации&quot; {КонсультантПлюс}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15 февраля 2022 г. N 73-ст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4 ВВЕДЕН ВП</w:t>
      </w:r>
      <w:r>
        <w:t>ЕРВЫЕ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ind w:firstLine="540"/>
        <w:jc w:val="both"/>
      </w:pPr>
      <w:r>
        <w:rPr>
          <w:i/>
        </w:rPr>
        <w:t xml:space="preserve">Правила применения настоящего стандарта установлены в </w:t>
      </w:r>
      <w:hyperlink r:id="rId14" w:tooltip="Федеральный закон от 29.06.2015 N 162-ФЗ (ред. от 30.12.2020) &quot;О стандартизации в Российской Федерации&quot; {КонсультантПлюс}">
        <w:r>
          <w:rPr>
            <w:i/>
            <w:color w:val="0000FF"/>
          </w:rPr>
          <w:t>статье 26</w:t>
        </w:r>
      </w:hyperlink>
      <w:r>
        <w:rPr>
          <w:i/>
        </w:rPr>
        <w:t xml:space="preserve"> Федерального закона от 29 июня 2015 г. N 162-ФЗ "О стандартизации в Российской Федерации". Информация об изменениях к </w:t>
      </w:r>
      <w:r>
        <w:rPr>
          <w:i/>
        </w:rPr>
        <w:lastRenderedPageBreak/>
        <w:t>настоящему стандарту публикуется в ежегодном (по состоянию на 1 января текущего года) информационном ука</w:t>
      </w:r>
      <w:r>
        <w:rPr>
          <w:i/>
        </w:rPr>
        <w:t>зателе "Национальные стандарты", а официальный текст изменений и поправок - в ежемесячном информационном указателе "Национальные стандарты". В случае пересмотра (замены) или отмены настоящего стандарта соответствующее уведомление будет опубликовано в ближа</w:t>
      </w:r>
      <w:r>
        <w:rPr>
          <w:i/>
        </w:rPr>
        <w:t>йшем выпуске ежемесячного информационного указателя "Национальные стандарты". Соответствующая информация, уведомление и тексты размещаются также в информационной системе общего пользования - на официальном сайте Федерального агентства по техническому регул</w:t>
      </w:r>
      <w:r>
        <w:rPr>
          <w:i/>
        </w:rPr>
        <w:t>ированию и метрологии в сети Интернет (</w:t>
      </w:r>
      <w:hyperlink r:id="rId15">
        <w:r>
          <w:rPr>
            <w:i/>
            <w:color w:val="0000FF"/>
          </w:rPr>
          <w:t>www.rst.gov.ru</w:t>
        </w:r>
      </w:hyperlink>
      <w:r>
        <w:rPr>
          <w:i/>
        </w:rPr>
        <w:t>)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Title0"/>
        <w:ind w:firstLine="540"/>
        <w:jc w:val="both"/>
        <w:outlineLvl w:val="1"/>
      </w:pPr>
      <w:r>
        <w:t>1 Область применения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ind w:firstLine="540"/>
        <w:jc w:val="both"/>
      </w:pPr>
      <w:r>
        <w:t>Настоящий стандарт устанавливает требования к разделительным дорожкам бассейнов для плавания.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 xml:space="preserve">Требования настоящего стандарта распространяются на дорожки разделительные, предназначенные для использования в бассейнах для плавания при тренировках и соревнованиях по спортивному плаванию, для оказания физкультурно-оздоровительных услуг, обучения детей </w:t>
      </w:r>
      <w:r>
        <w:t>и взрослых плаванию.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Требования настоящего стандарта применяются при проведении процедуры подтверждения соответствия в форме добровольной сертификации.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Title0"/>
        <w:ind w:firstLine="540"/>
        <w:jc w:val="both"/>
        <w:outlineLvl w:val="1"/>
      </w:pPr>
      <w:r>
        <w:t>2 Нормативные ссылки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ind w:firstLine="540"/>
        <w:jc w:val="both"/>
      </w:pPr>
      <w:r>
        <w:t>В настоящем стандарте использованы нормативные ссылки на следующие документы:</w:t>
      </w:r>
    </w:p>
    <w:p w:rsidR="005F01E4" w:rsidRDefault="00B06B24">
      <w:pPr>
        <w:pStyle w:val="ConsPlusNormal0"/>
        <w:spacing w:before="200"/>
        <w:ind w:firstLine="540"/>
        <w:jc w:val="both"/>
      </w:pPr>
      <w:hyperlink r:id="rId16" w:tooltip="&quot;ГОСТ 12020-2018 (ISO 175:2010). Межгосударственный стандарт. Пластмассы. Методы определения стойкости к действию химических сред&quot; (введен в действие Приказом Росстандарта от 27.02.2018 N 108-ст) {КонсультантПлюс}">
        <w:r>
          <w:rPr>
            <w:color w:val="0000FF"/>
          </w:rPr>
          <w:t>ГОСТ 12020</w:t>
        </w:r>
      </w:hyperlink>
      <w:r>
        <w:t xml:space="preserve"> Пластмассы. Методы определения стойкости к действию химических сред</w:t>
      </w:r>
    </w:p>
    <w:p w:rsidR="005F01E4" w:rsidRDefault="00B06B24">
      <w:pPr>
        <w:pStyle w:val="ConsPlusNormal0"/>
        <w:spacing w:before="200"/>
        <w:ind w:firstLine="540"/>
        <w:jc w:val="both"/>
      </w:pPr>
      <w:hyperlink r:id="rId17" w:tooltip="&quot;ГОСТ 16337-2022. Межгосударственный стандарт. Полиэтилен высокого давления. Технические условия&quot; (введен в действие Приказом Росстандарта от 26.10.2022 N 1190-ст) {КонсультантПлюс}">
        <w:r>
          <w:rPr>
            <w:color w:val="0000FF"/>
          </w:rPr>
          <w:t>ГОСТ 16337</w:t>
        </w:r>
      </w:hyperlink>
      <w:r>
        <w:t xml:space="preserve"> Полиэтилен высокого давления. Технические условия</w:t>
      </w:r>
    </w:p>
    <w:p w:rsidR="005F01E4" w:rsidRDefault="00B06B24">
      <w:pPr>
        <w:pStyle w:val="ConsPlusNormal0"/>
        <w:spacing w:before="200"/>
        <w:ind w:firstLine="540"/>
        <w:jc w:val="both"/>
      </w:pPr>
      <w:hyperlink r:id="rId18" w:tooltip="&quot;ГОСТ 26996-86. Полипропилен и сополимеры пропилена. Технические условия&quot; (введен в действие Постановлением Госстандарта СССР от 23.09.1986 N 2749) (ред. от 01.12.1990) {КонсультантПлюс}">
        <w:r>
          <w:rPr>
            <w:color w:val="0000FF"/>
          </w:rPr>
          <w:t>ГОСТ 26996</w:t>
        </w:r>
      </w:hyperlink>
      <w:r>
        <w:t xml:space="preserve"> Полипропилен и сополимеры пропилена. Те</w:t>
      </w:r>
      <w:r>
        <w:t>хнические условия</w:t>
      </w:r>
    </w:p>
    <w:p w:rsidR="005F01E4" w:rsidRDefault="00B06B24">
      <w:pPr>
        <w:pStyle w:val="ConsPlusNormal0"/>
        <w:spacing w:before="200"/>
        <w:ind w:firstLine="540"/>
        <w:jc w:val="both"/>
      </w:pPr>
      <w:hyperlink r:id="rId19" w:tooltip="&quot;ГОСТ 30534-97. Средства контроля и измерений линейных и угловых размеров. Требования безопасности и методы испытаний&quot; (введен в действие Постановлением Госстандарта РФ от 22.04.1998 N 139) {КонсультантПлюс}">
        <w:r>
          <w:rPr>
            <w:color w:val="0000FF"/>
          </w:rPr>
          <w:t>ГОСТ 30534</w:t>
        </w:r>
      </w:hyperlink>
      <w:r>
        <w:t xml:space="preserve"> Средства контроля и измерений линейных и угловых размеров. Требования безопасности и методы испытаний</w:t>
      </w:r>
    </w:p>
    <w:p w:rsidR="005F01E4" w:rsidRDefault="00B06B24">
      <w:pPr>
        <w:pStyle w:val="ConsPlusNormal0"/>
        <w:spacing w:before="200"/>
        <w:ind w:firstLine="540"/>
        <w:jc w:val="both"/>
      </w:pPr>
      <w:hyperlink r:id="rId20" w:tooltip="&quot;ГОСТ 33366.1-2015 (ISO 1043-1:2011). Межгосударственный стандарт. Пластмассы. Условные обозначения и сокращения. Часть 1. Основные полимеры и их специальные характеристики&quot; (введен в действие Приказом Росстандарта от 22.10.2015 N 1620-ст) {КонсультантПлюс}">
        <w:r>
          <w:rPr>
            <w:color w:val="0000FF"/>
          </w:rPr>
          <w:t>Г</w:t>
        </w:r>
        <w:r>
          <w:rPr>
            <w:color w:val="0000FF"/>
          </w:rPr>
          <w:t>ОСТ 33366.1</w:t>
        </w:r>
      </w:hyperlink>
      <w:r>
        <w:t xml:space="preserve"> (ISO 1043-1:2011) Пластмассы. Условные обозначения и сокращения. Часть 1. Основные полимеры и их специальные характеристики</w:t>
      </w:r>
    </w:p>
    <w:p w:rsidR="005F01E4" w:rsidRDefault="00B06B24">
      <w:pPr>
        <w:pStyle w:val="ConsPlusNormal0"/>
        <w:spacing w:before="200"/>
        <w:ind w:firstLine="540"/>
        <w:jc w:val="both"/>
      </w:pPr>
      <w:hyperlink r:id="rId21" w:tooltip="&quot;ГОСТ Р 50962-96. Государственный стандарт Российской Федерации. Посуда и изделия хозяйственного назначения из пластмасс. Общие технические условия&quot; (введен в действие Постановлением Госстандарта России от 25.09.1996 N 598) (ред. от 16.11.2012) {КонсультантПлю">
        <w:r>
          <w:rPr>
            <w:color w:val="0000FF"/>
          </w:rPr>
          <w:t>ГОСТ Р 50962</w:t>
        </w:r>
      </w:hyperlink>
      <w:r>
        <w:t xml:space="preserve"> Посуда и изделия </w:t>
      </w:r>
      <w:r>
        <w:t>хозяйственного назначения из пластмасс. Общие технические условия</w:t>
      </w:r>
    </w:p>
    <w:p w:rsidR="005F01E4" w:rsidRDefault="00B06B24">
      <w:pPr>
        <w:pStyle w:val="ConsPlusNormal0"/>
        <w:spacing w:before="200"/>
        <w:ind w:firstLine="540"/>
        <w:jc w:val="both"/>
      </w:pPr>
      <w:hyperlink r:id="rId22" w:tooltip="&quot;ГОСТ Р 58458-2020. Национальный стандарт Российской Федерации. Бассейны для плавания. Общие технические условия&quot; (утв. и введен в действие Приказом Росстандарта от 25.12.2020 N 1396-ст) {КонсультантПлюс}">
        <w:r>
          <w:rPr>
            <w:color w:val="0000FF"/>
          </w:rPr>
          <w:t>ГОСТ Р 58458</w:t>
        </w:r>
      </w:hyperlink>
      <w:r>
        <w:t xml:space="preserve"> Бассейны для плавания. Общие технические условия</w:t>
      </w:r>
    </w:p>
    <w:p w:rsidR="005F01E4" w:rsidRDefault="00B06B24">
      <w:pPr>
        <w:pStyle w:val="ConsPlusNormal0"/>
        <w:spacing w:before="200"/>
        <w:ind w:firstLine="540"/>
        <w:jc w:val="both"/>
      </w:pPr>
      <w:hyperlink r:id="rId23" w:tooltip="&quot;ГОСТ Р 58877-2020. Национальный стандарт Российской Федерации. Бассейны для спортивного плавания. Длина ванны. Методы измерения&quot; (утв. и введен в действие Приказом Росстандарта от 30.11.2020 N 1198-ст) {КонсультантПлюс}">
        <w:r>
          <w:rPr>
            <w:color w:val="0000FF"/>
          </w:rPr>
          <w:t>ГОСТ Р 58877</w:t>
        </w:r>
      </w:hyperlink>
      <w:r>
        <w:t xml:space="preserve"> Бассейны для спортивного плаван</w:t>
      </w:r>
      <w:r>
        <w:t>ия. Длина ванны. Методы измерения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Примечание - При пользовании настоящим стандартом целесообразно проверить действие ссылочных стандартов (сводов правил) в информационной системе общего пользования - на официальном сайте Федерального агентства по техническ</w:t>
      </w:r>
      <w:r>
        <w:t>ому регулированию и метрологии в сети Интернет или по ежегодному информационному указателю "Национальные стандарты", который опубликован по состоянию на 1 января текущего года, и по выпускам ежемесячного информационного указателя "Национальные стандарты" з</w:t>
      </w:r>
      <w:r>
        <w:t>а текущий год. Если заменен ссылочный документ, на который дана недатированная ссылка, то рекомендуется использовать действующую версию этого документа с учетом всех внесенных в данную версию изменений. Если заменен ссылочный документ, на который дана дати</w:t>
      </w:r>
      <w:r>
        <w:t>рованная ссылка, то рекомендуется использовать версию этого документа с указанным выше годом утверждения (принятия). Если после утверждения настоящего стандарта в ссылочный документ, на который дана датированная ссылка, внесено изменение, затрагивающее пол</w:t>
      </w:r>
      <w:r>
        <w:t>ожение, на которое дана ссылка, то это положение рекомендуется применять без учета данного изменения. Если ссылочный документ отменен без замены, то положение, в котором дана ссылка на него, рекомендуется применять в части, не затрагивающей эту ссылку. Све</w:t>
      </w:r>
      <w:r>
        <w:t xml:space="preserve">дения о действии сводов правил целесообразно проверить в Федеральном информационном </w:t>
      </w:r>
      <w:r>
        <w:lastRenderedPageBreak/>
        <w:t>фонде технических регламентов и стандартов.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Title0"/>
        <w:ind w:firstLine="540"/>
        <w:jc w:val="both"/>
        <w:outlineLvl w:val="1"/>
      </w:pPr>
      <w:r>
        <w:t>3 Термины и определения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ind w:firstLine="540"/>
        <w:jc w:val="both"/>
      </w:pPr>
      <w:r>
        <w:t>В настоящем стандарте применены термины с соответствующими определениями: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 xml:space="preserve">3.1 </w:t>
      </w:r>
      <w:r>
        <w:rPr>
          <w:b/>
        </w:rPr>
        <w:t>АБС-пластик:</w:t>
      </w:r>
      <w:r>
        <w:t xml:space="preserve"> Сырье для и</w:t>
      </w:r>
      <w:r>
        <w:t>зготовления пластиковых элементов разделительной дорожки (сополимер акрилонитрил-бутадиен-стирол), термопластическая ударопрочная техническая смола.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 xml:space="preserve">3.2 </w:t>
      </w:r>
      <w:r>
        <w:rPr>
          <w:b/>
        </w:rPr>
        <w:t>волногаситель:</w:t>
      </w:r>
      <w:r>
        <w:t xml:space="preserve"> Подвижный элемент разделительной дорожки, обеспечивающий основную функцию волногашения п</w:t>
      </w:r>
      <w:r>
        <w:t>осредством преобразования кинетической энергии воды в механическую для ее затухания и создания максимально равных условий для всех участников заплыва.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 xml:space="preserve">3.3 </w:t>
      </w:r>
      <w:r>
        <w:rPr>
          <w:b/>
        </w:rPr>
        <w:t>держатель разделительной дорожки:</w:t>
      </w:r>
      <w:r>
        <w:t xml:space="preserve"> Конструктивный элемент, обеспечивающий сочленение закладных элемент</w:t>
      </w:r>
      <w:r>
        <w:t>ов с креплениями на концах троса разделительных дорожек.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 xml:space="preserve">3.4 </w:t>
      </w:r>
      <w:r>
        <w:rPr>
          <w:b/>
        </w:rPr>
        <w:t>разделительная дорожка:</w:t>
      </w:r>
      <w:r>
        <w:t xml:space="preserve"> Специальное оборудование бассейна для плавания, необходимое для обеспечения упорядоченного движения пловцов и снижения взаимного влияния волнообразования на соседних дорож</w:t>
      </w:r>
      <w:r>
        <w:t>ках.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 xml:space="preserve">3.5 </w:t>
      </w:r>
      <w:r>
        <w:rPr>
          <w:b/>
        </w:rPr>
        <w:t>задир:</w:t>
      </w:r>
      <w:r>
        <w:t xml:space="preserve"> Дефект поверхности в виде широких продольных углублений, образующихся от резкого трения материала при производстве (обработке) о детали прокатного, штамповочного или подъемно-транспортного оборудования.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 xml:space="preserve">3.6 </w:t>
      </w:r>
      <w:r>
        <w:rPr>
          <w:b/>
        </w:rPr>
        <w:t>зажим:</w:t>
      </w:r>
      <w:r>
        <w:t xml:space="preserve"> Специальное такелажное приспособление, с помощью которого осуществляется фиксация петель на стальном тросе разделительной дорожки.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 xml:space="preserve">3.7 </w:t>
      </w:r>
      <w:r>
        <w:rPr>
          <w:b/>
        </w:rPr>
        <w:t>заусенец:</w:t>
      </w:r>
      <w:r>
        <w:t xml:space="preserve"> Дефект поверхности, представляющий собой острый в виде гребня выступ, образовавшийся при резке материала.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 xml:space="preserve">3.8 </w:t>
      </w:r>
      <w:r>
        <w:rPr>
          <w:b/>
        </w:rPr>
        <w:t>коуш:</w:t>
      </w:r>
      <w:r>
        <w:t xml:space="preserve"> Специальное такелажное приспособление каплевидной формы с желобом на наружной стороне для закладки внутрь петли стального троса разделительной дорожки в целях снижения его истирания.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 xml:space="preserve">3.9 </w:t>
      </w:r>
      <w:r>
        <w:rPr>
          <w:b/>
        </w:rPr>
        <w:t>полипропилен;</w:t>
      </w:r>
      <w:r>
        <w:t xml:space="preserve"> ПП: Сырье для изготовления пластиковых элементов </w:t>
      </w:r>
      <w:r>
        <w:t>разделительной дорожки.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 xml:space="preserve">3.10 </w:t>
      </w:r>
      <w:r>
        <w:rPr>
          <w:b/>
        </w:rPr>
        <w:t>полиэтилен высокого давления;</w:t>
      </w:r>
      <w:r>
        <w:t xml:space="preserve"> ПЭВД: Сырье для изготовления пластиковых элементов разделительной дорожки.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 xml:space="preserve">3.11 </w:t>
      </w:r>
      <w:r>
        <w:rPr>
          <w:b/>
        </w:rPr>
        <w:t>поплавок:</w:t>
      </w:r>
      <w:r>
        <w:t xml:space="preserve"> Подвижный элемент разделительной дорожки, обеспечивающий ее плавучесть и дополнительное сопротивление волна</w:t>
      </w:r>
      <w:r>
        <w:t>м в бассейне.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 xml:space="preserve">3.12 </w:t>
      </w:r>
      <w:r>
        <w:rPr>
          <w:b/>
        </w:rPr>
        <w:t>закладной стакан:</w:t>
      </w:r>
      <w:r>
        <w:t xml:space="preserve"> Специальный полый цилиндр, монтируемый в определенном месте для надежной и удобной установки держателя разделительной дорожки.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 xml:space="preserve">3.13 </w:t>
      </w:r>
      <w:r>
        <w:rPr>
          <w:b/>
        </w:rPr>
        <w:t>талреп:</w:t>
      </w:r>
      <w:r>
        <w:t xml:space="preserve"> Специальное такелажное приспособление для натяжения троса разделительной дорожк</w:t>
      </w:r>
      <w:r>
        <w:t>и, представляющее собой двойную винтовую стяжку, в которую с двух сторон ввинчиваются стержни с разнонаправленной резьбой.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 xml:space="preserve">3.14 </w:t>
      </w:r>
      <w:r>
        <w:rPr>
          <w:b/>
        </w:rPr>
        <w:t>храповик:</w:t>
      </w:r>
      <w:r>
        <w:t xml:space="preserve"> Специальное такелажное приспособление для натяжения троса разделительной дорожки, представляющее собой зубчатый механи</w:t>
      </w:r>
      <w:r>
        <w:t>зм прерывистого движения только в одном направлении, блокирующий движение в обратную сторону.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Title0"/>
        <w:ind w:firstLine="540"/>
        <w:jc w:val="both"/>
        <w:outlineLvl w:val="1"/>
      </w:pPr>
      <w:r>
        <w:t>4 Общие требования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ind w:firstLine="540"/>
        <w:jc w:val="both"/>
      </w:pPr>
      <w:r>
        <w:t>4.1 В зависимости от уровня проводимых физкультурно-спортивных мероприятий в бассейне для плавания следует использовать: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- соревновательные р</w:t>
      </w:r>
      <w:r>
        <w:t>азделительные дорожки;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lastRenderedPageBreak/>
        <w:t>- тренировочные разделительные дорожки.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4.2 В зависимости от длины ванны бассейна разделительные дорожки могут быть: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- для ванны 25-метрового бассейна;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- для ванны 50-метрового бассейна.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4.3 В зависимости от назначения разделительных</w:t>
      </w:r>
      <w:r>
        <w:t xml:space="preserve"> дорожек бывают: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- разделительные дорожки для спортивного плавания;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- разделительные дорожки для оздоровительного плавания (прочие).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 xml:space="preserve">4.4 В бассейнах оздоровительного и учебного назначения допускается использование разделительных дорожек без волногасителей </w:t>
      </w:r>
      <w:r>
        <w:t>с поплавками для визуального деления зеркала воды.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Title0"/>
        <w:ind w:firstLine="540"/>
        <w:jc w:val="both"/>
        <w:outlineLvl w:val="1"/>
      </w:pPr>
      <w:r>
        <w:t>5 Технические требования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ind w:firstLine="540"/>
        <w:jc w:val="both"/>
      </w:pPr>
      <w:r>
        <w:rPr>
          <w:b/>
        </w:rPr>
        <w:t>5.1 Требования к креплению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ind w:firstLine="540"/>
        <w:jc w:val="both"/>
      </w:pPr>
      <w:r>
        <w:t>5.1.1 Разделительные дорожки следует крепить к закладным элементам (далее - закладные). Варианты размещения закладных зависят от конструкции ванны: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- при переливной конструкции - закладные расположены за пределами ванны бассейна, на горизонтальной поверхности обходной дорожки (в формате вертикальных закладных стаканов);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- для реконструируемых ванн с торцевыми стенками - закладные расположены непосредс</w:t>
      </w:r>
      <w:r>
        <w:t>твенно в стенке ванны, на уровне поверхности воды (в формате горизонтальных ниш и/или горизонтальных закладных элементов).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5.1.2 Закладные должны выдерживать натяжение троса разделительной дорожки до 20 кН.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ind w:firstLine="540"/>
        <w:jc w:val="both"/>
      </w:pPr>
      <w:r>
        <w:rPr>
          <w:b/>
        </w:rPr>
        <w:t>5.2 Требования к материалам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ind w:firstLine="540"/>
        <w:jc w:val="both"/>
      </w:pPr>
      <w:r>
        <w:t>Волногасители и поп</w:t>
      </w:r>
      <w:r>
        <w:t xml:space="preserve">лавки разделительной дорожки следует изготавливать из материалов, соответствующих </w:t>
      </w:r>
      <w:hyperlink r:id="rId24" w:tooltip="&quot;ГОСТ 26996-86. Полипропилен и сополимеры пропилена. Технические условия&quot; (введен в действие Постановлением Госстандарта СССР от 23.09.1986 N 2749) (ред. от 01.12.1990) {КонсультантПлюс}">
        <w:r>
          <w:rPr>
            <w:color w:val="0000FF"/>
          </w:rPr>
          <w:t>ГОСТ 26996</w:t>
        </w:r>
      </w:hyperlink>
      <w:r>
        <w:t xml:space="preserve">, </w:t>
      </w:r>
      <w:hyperlink r:id="rId25" w:tooltip="&quot;ГОСТ 16337-2022. Межгосударственный стандарт. Полиэтилен высокого давления. Технические условия&quot; (введен в действие Приказом Росстандарта от 26.10.2022 N 1190-ст) {КонсультантПлюс}">
        <w:r>
          <w:rPr>
            <w:color w:val="0000FF"/>
          </w:rPr>
          <w:t>ГОСТ 16337</w:t>
        </w:r>
      </w:hyperlink>
      <w:r>
        <w:t>.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ind w:firstLine="540"/>
        <w:jc w:val="both"/>
      </w:pPr>
      <w:r>
        <w:rPr>
          <w:b/>
        </w:rPr>
        <w:t>5.3 Требования к комплектации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ind w:firstLine="540"/>
        <w:jc w:val="both"/>
      </w:pPr>
      <w:r>
        <w:t>5.3.1 Количество разделительных дорожек должно соответствовать назначению ванны: до 11 шт. (</w:t>
      </w:r>
      <w:r>
        <w:t>для бассейна категории "A"). Цвет элементов на обоих пятиметровых концах каждой дорожки должен быть красным. Цвета элементов центральной части должны быть: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- зеленым - для краевых разделительных шнуров;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- желтым - для разделительных шнуров, отделяющих цент</w:t>
      </w:r>
      <w:r>
        <w:t>ральные дорожки;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- синим - для остальных разделительных шнуров.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На разделительных дорожках ванн длиной 25 м должна быть 15-метровая отметка с обоих концов (поплавок контрастного цвета). В 50-метровых бассейнах поплавком особого цвета должна быть обозначена и 25-метровая отметка дистанции.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5.3.2 Параметры волногасителей</w:t>
      </w:r>
      <w:r>
        <w:t xml:space="preserve"> и поплавков представлены в </w:t>
      </w:r>
      <w:hyperlink w:anchor="P109" w:tooltip="Параметры элементов разделительных дорожек">
        <w:r>
          <w:rPr>
            <w:color w:val="0000FF"/>
          </w:rPr>
          <w:t>таблице 1</w:t>
        </w:r>
      </w:hyperlink>
      <w:r>
        <w:t>, должны соответствовать требованиям в соответствии с назначением: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- разделительная дорожка соревновательная;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lastRenderedPageBreak/>
        <w:t>- разделительная дорожка тренирово</w:t>
      </w:r>
      <w:r>
        <w:t>чная.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jc w:val="right"/>
      </w:pPr>
      <w:r>
        <w:t>Таблица 1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jc w:val="center"/>
      </w:pPr>
      <w:bookmarkStart w:id="1" w:name="P109"/>
      <w:bookmarkEnd w:id="1"/>
      <w:r>
        <w:t>Параметры элементов разделительных дорожек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jc w:val="right"/>
      </w:pPr>
      <w:r>
        <w:t>В миллиметрах</w:t>
      </w:r>
    </w:p>
    <w:p w:rsidR="005F01E4" w:rsidRDefault="005F01E4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984"/>
        <w:gridCol w:w="2268"/>
        <w:gridCol w:w="1218"/>
        <w:gridCol w:w="1218"/>
      </w:tblGrid>
      <w:tr w:rsidR="005F01E4">
        <w:tc>
          <w:tcPr>
            <w:tcW w:w="2381" w:type="dxa"/>
            <w:vMerge w:val="restart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Назначение разделительных дорожек</w:t>
            </w:r>
          </w:p>
        </w:tc>
        <w:tc>
          <w:tcPr>
            <w:tcW w:w="4252" w:type="dxa"/>
            <w:gridSpan w:val="2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Волногаситель</w:t>
            </w:r>
          </w:p>
        </w:tc>
        <w:tc>
          <w:tcPr>
            <w:tcW w:w="2436" w:type="dxa"/>
            <w:gridSpan w:val="2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Поплавок</w:t>
            </w:r>
          </w:p>
        </w:tc>
      </w:tr>
      <w:tr w:rsidR="005F01E4">
        <w:tc>
          <w:tcPr>
            <w:tcW w:w="2381" w:type="dxa"/>
            <w:vMerge/>
          </w:tcPr>
          <w:p w:rsidR="005F01E4" w:rsidRDefault="005F01E4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наружный диаметр элемента, не более</w:t>
            </w:r>
          </w:p>
        </w:tc>
        <w:tc>
          <w:tcPr>
            <w:tcW w:w="2268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ширина выступающего элемента турбинки</w:t>
            </w:r>
          </w:p>
        </w:tc>
        <w:tc>
          <w:tcPr>
            <w:tcW w:w="1218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диаметр, не более</w:t>
            </w:r>
          </w:p>
        </w:tc>
        <w:tc>
          <w:tcPr>
            <w:tcW w:w="1218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толщина, не более</w:t>
            </w:r>
          </w:p>
        </w:tc>
      </w:tr>
      <w:tr w:rsidR="005F01E4">
        <w:tc>
          <w:tcPr>
            <w:tcW w:w="2381" w:type="dxa"/>
          </w:tcPr>
          <w:p w:rsidR="005F01E4" w:rsidRDefault="00B06B24">
            <w:pPr>
              <w:pStyle w:val="ConsPlusNormal0"/>
            </w:pPr>
            <w:r>
              <w:t>Соревновательные</w:t>
            </w:r>
          </w:p>
        </w:tc>
        <w:tc>
          <w:tcPr>
            <w:tcW w:w="1984" w:type="dxa"/>
          </w:tcPr>
          <w:p w:rsidR="005F01E4" w:rsidRDefault="00B06B24">
            <w:pPr>
              <w:pStyle w:val="ConsPlusNormal0"/>
              <w:jc w:val="center"/>
            </w:pPr>
            <w:r>
              <w:t>150 +/- 0,5</w:t>
            </w:r>
          </w:p>
        </w:tc>
        <w:tc>
          <w:tcPr>
            <w:tcW w:w="2268" w:type="dxa"/>
          </w:tcPr>
          <w:p w:rsidR="005F01E4" w:rsidRDefault="00B06B24">
            <w:pPr>
              <w:pStyle w:val="ConsPlusNormal0"/>
              <w:jc w:val="center"/>
            </w:pPr>
            <w:r>
              <w:t>(6/8/10/12/14) +/- 0,5</w:t>
            </w:r>
          </w:p>
        </w:tc>
        <w:tc>
          <w:tcPr>
            <w:tcW w:w="1218" w:type="dxa"/>
          </w:tcPr>
          <w:p w:rsidR="005F01E4" w:rsidRDefault="00B06B24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218" w:type="dxa"/>
          </w:tcPr>
          <w:p w:rsidR="005F01E4" w:rsidRDefault="00B06B24">
            <w:pPr>
              <w:pStyle w:val="ConsPlusNormal0"/>
              <w:jc w:val="center"/>
            </w:pPr>
            <w:r>
              <w:t>45</w:t>
            </w:r>
          </w:p>
        </w:tc>
      </w:tr>
      <w:tr w:rsidR="005F01E4">
        <w:tc>
          <w:tcPr>
            <w:tcW w:w="2381" w:type="dxa"/>
          </w:tcPr>
          <w:p w:rsidR="005F01E4" w:rsidRDefault="00B06B24">
            <w:pPr>
              <w:pStyle w:val="ConsPlusNormal0"/>
            </w:pPr>
            <w:r>
              <w:t>Тренировочные</w:t>
            </w:r>
          </w:p>
        </w:tc>
        <w:tc>
          <w:tcPr>
            <w:tcW w:w="1984" w:type="dxa"/>
          </w:tcPr>
          <w:p w:rsidR="005F01E4" w:rsidRDefault="00B06B24">
            <w:pPr>
              <w:pStyle w:val="ConsPlusNormal0"/>
              <w:jc w:val="center"/>
            </w:pPr>
            <w:r>
              <w:t>(105 - 126) +/- 0,5</w:t>
            </w:r>
          </w:p>
        </w:tc>
        <w:tc>
          <w:tcPr>
            <w:tcW w:w="2268" w:type="dxa"/>
          </w:tcPr>
          <w:p w:rsidR="005F01E4" w:rsidRDefault="00B06B24">
            <w:pPr>
              <w:pStyle w:val="ConsPlusNormal0"/>
              <w:jc w:val="center"/>
            </w:pPr>
            <w:r>
              <w:t>(6 - 14) +/- 0,5</w:t>
            </w:r>
          </w:p>
        </w:tc>
        <w:tc>
          <w:tcPr>
            <w:tcW w:w="1218" w:type="dxa"/>
          </w:tcPr>
          <w:p w:rsidR="005F01E4" w:rsidRDefault="00B06B24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218" w:type="dxa"/>
          </w:tcPr>
          <w:p w:rsidR="005F01E4" w:rsidRDefault="00B06B24">
            <w:pPr>
              <w:pStyle w:val="ConsPlusNormal0"/>
              <w:jc w:val="center"/>
            </w:pPr>
            <w:r>
              <w:t>42</w:t>
            </w:r>
          </w:p>
        </w:tc>
      </w:tr>
      <w:tr w:rsidR="005F01E4">
        <w:tc>
          <w:tcPr>
            <w:tcW w:w="2381" w:type="dxa"/>
          </w:tcPr>
          <w:p w:rsidR="005F01E4" w:rsidRDefault="00B06B24">
            <w:pPr>
              <w:pStyle w:val="ConsPlusNormal0"/>
            </w:pPr>
            <w:r>
              <w:t>Прочие</w:t>
            </w:r>
          </w:p>
        </w:tc>
        <w:tc>
          <w:tcPr>
            <w:tcW w:w="1984" w:type="dxa"/>
          </w:tcPr>
          <w:p w:rsidR="005F01E4" w:rsidRDefault="00B06B24">
            <w:pPr>
              <w:pStyle w:val="ConsPlusNormal0"/>
              <w:jc w:val="center"/>
            </w:pPr>
            <w:r>
              <w:t>менее 105 +/- 0,5</w:t>
            </w:r>
          </w:p>
        </w:tc>
        <w:tc>
          <w:tcPr>
            <w:tcW w:w="4704" w:type="dxa"/>
            <w:gridSpan w:val="3"/>
          </w:tcPr>
          <w:p w:rsidR="005F01E4" w:rsidRDefault="00B06B24">
            <w:pPr>
              <w:pStyle w:val="ConsPlusNormal0"/>
              <w:jc w:val="center"/>
            </w:pPr>
            <w:r>
              <w:t>не нормируется</w:t>
            </w:r>
          </w:p>
        </w:tc>
      </w:tr>
    </w:tbl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ind w:firstLine="540"/>
        <w:jc w:val="both"/>
      </w:pPr>
      <w:r>
        <w:t xml:space="preserve">5.3.3 Комплектация элементов разделительной дорожки, представленная в таблице 2, должна соответствовать назначению ванны и ее длине согласно </w:t>
      </w:r>
      <w:hyperlink r:id="rId26" w:tooltip="&quot;ГОСТ Р 58458-2020. Национальный стандарт Российской Федерации. Бассейны для плавания. Общие технические условия&quot; (утв. и введен в действие Приказом Росстандарта от 25.12.2020 N 1396-ст) {КонсультантПлюс}">
        <w:r>
          <w:rPr>
            <w:color w:val="0000FF"/>
          </w:rPr>
          <w:t>ГОСТ Р 58458</w:t>
        </w:r>
      </w:hyperlink>
      <w:r>
        <w:t xml:space="preserve">, </w:t>
      </w:r>
      <w:hyperlink r:id="rId27" w:tooltip="&quot;ГОСТ Р 58877-2020. Национальный стандарт Российской Федерации. Бассейны для спортивного плавания. Длина ванны. Методы измерения&quot; (утв. и введен в действие Приказом Росстандарта от 30.11.2020 N 1198-ст) {КонсультантПлюс}">
        <w:r>
          <w:rPr>
            <w:color w:val="0000FF"/>
          </w:rPr>
          <w:t>ГОСТ Р 58877</w:t>
        </w:r>
      </w:hyperlink>
      <w:r>
        <w:t>.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jc w:val="right"/>
      </w:pPr>
      <w:r>
        <w:t>Та</w:t>
      </w:r>
      <w:r>
        <w:t>блица 2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jc w:val="center"/>
      </w:pPr>
      <w:r>
        <w:t>Комплектация разделительных дорожек в соответствии</w:t>
      </w:r>
    </w:p>
    <w:p w:rsidR="005F01E4" w:rsidRDefault="00B06B24">
      <w:pPr>
        <w:pStyle w:val="ConsPlusNormal0"/>
        <w:jc w:val="center"/>
      </w:pPr>
      <w:r>
        <w:t>с назначением и длиной ванны бассейна</w:t>
      </w:r>
    </w:p>
    <w:p w:rsidR="005F01E4" w:rsidRDefault="005F01E4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020"/>
        <w:gridCol w:w="907"/>
        <w:gridCol w:w="737"/>
        <w:gridCol w:w="907"/>
        <w:gridCol w:w="794"/>
        <w:gridCol w:w="1361"/>
        <w:gridCol w:w="1247"/>
      </w:tblGrid>
      <w:tr w:rsidR="005F01E4">
        <w:tc>
          <w:tcPr>
            <w:tcW w:w="2098" w:type="dxa"/>
            <w:vMerge w:val="restart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Назначение разделительных дорожек, длины ванн</w:t>
            </w:r>
          </w:p>
        </w:tc>
        <w:tc>
          <w:tcPr>
            <w:tcW w:w="6973" w:type="dxa"/>
            <w:gridSpan w:val="7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Элементы комплектации</w:t>
            </w:r>
          </w:p>
        </w:tc>
      </w:tr>
      <w:tr w:rsidR="005F01E4">
        <w:tc>
          <w:tcPr>
            <w:tcW w:w="2098" w:type="dxa"/>
            <w:vMerge/>
          </w:tcPr>
          <w:p w:rsidR="005F01E4" w:rsidRDefault="005F01E4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 xml:space="preserve">Волногаситель, шт. </w:t>
            </w:r>
            <w:hyperlink w:anchor="P186" w:tooltip="&lt;*&gt; Количество волногасителей и поплавков может отличаться от указанного в зависимости от параметров (толщины) элементов конкретного производителя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 xml:space="preserve">Поплавок, шт. </w:t>
            </w:r>
            <w:hyperlink w:anchor="P186" w:tooltip="&lt;*&gt; Количество волногасителей и поплавков может отличаться от указанного в зависимости от параметров (толщины) элементов конкретного производителя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Трос, м</w:t>
            </w:r>
          </w:p>
        </w:tc>
        <w:tc>
          <w:tcPr>
            <w:tcW w:w="907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Зажим, шт.</w:t>
            </w:r>
          </w:p>
        </w:tc>
        <w:tc>
          <w:tcPr>
            <w:tcW w:w="794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Коуш, шт.</w:t>
            </w:r>
          </w:p>
        </w:tc>
        <w:tc>
          <w:tcPr>
            <w:tcW w:w="1361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Натяжитель (механизм)</w:t>
            </w:r>
          </w:p>
        </w:tc>
        <w:tc>
          <w:tcPr>
            <w:tcW w:w="1247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Зацеп (механизм)</w:t>
            </w:r>
          </w:p>
        </w:tc>
      </w:tr>
      <w:tr w:rsidR="005F01E4">
        <w:tc>
          <w:tcPr>
            <w:tcW w:w="2098" w:type="dxa"/>
            <w:vAlign w:val="center"/>
          </w:tcPr>
          <w:p w:rsidR="005F01E4" w:rsidRDefault="00B06B24">
            <w:pPr>
              <w:pStyle w:val="ConsPlusNormal0"/>
            </w:pPr>
            <w:r>
              <w:t>Соревновательные (25 м)</w:t>
            </w:r>
          </w:p>
        </w:tc>
        <w:tc>
          <w:tcPr>
            <w:tcW w:w="1020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907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166</w:t>
            </w:r>
          </w:p>
        </w:tc>
        <w:tc>
          <w:tcPr>
            <w:tcW w:w="737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907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храповик</w:t>
            </w:r>
          </w:p>
        </w:tc>
        <w:tc>
          <w:tcPr>
            <w:tcW w:w="1247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пружина</w:t>
            </w:r>
          </w:p>
        </w:tc>
      </w:tr>
      <w:tr w:rsidR="005F01E4">
        <w:tc>
          <w:tcPr>
            <w:tcW w:w="2098" w:type="dxa"/>
            <w:vAlign w:val="center"/>
          </w:tcPr>
          <w:p w:rsidR="005F01E4" w:rsidRDefault="00B06B24">
            <w:pPr>
              <w:pStyle w:val="ConsPlusNormal0"/>
            </w:pPr>
            <w:r>
              <w:t>Соревновательные (50 м)</w:t>
            </w:r>
          </w:p>
        </w:tc>
        <w:tc>
          <w:tcPr>
            <w:tcW w:w="1020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660</w:t>
            </w:r>
          </w:p>
        </w:tc>
        <w:tc>
          <w:tcPr>
            <w:tcW w:w="907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737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907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храповик</w:t>
            </w:r>
          </w:p>
        </w:tc>
        <w:tc>
          <w:tcPr>
            <w:tcW w:w="1247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пружина</w:t>
            </w:r>
          </w:p>
        </w:tc>
      </w:tr>
      <w:tr w:rsidR="005F01E4">
        <w:tc>
          <w:tcPr>
            <w:tcW w:w="2098" w:type="dxa"/>
            <w:vAlign w:val="center"/>
          </w:tcPr>
          <w:p w:rsidR="005F01E4" w:rsidRDefault="00B06B24">
            <w:pPr>
              <w:pStyle w:val="ConsPlusNormal0"/>
            </w:pPr>
            <w:r>
              <w:t>Тренировочные (25 м)</w:t>
            </w:r>
          </w:p>
        </w:tc>
        <w:tc>
          <w:tcPr>
            <w:tcW w:w="1020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336</w:t>
            </w:r>
          </w:p>
        </w:tc>
        <w:tc>
          <w:tcPr>
            <w:tcW w:w="907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168</w:t>
            </w:r>
          </w:p>
        </w:tc>
        <w:tc>
          <w:tcPr>
            <w:tcW w:w="737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907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талреп</w:t>
            </w:r>
          </w:p>
        </w:tc>
        <w:tc>
          <w:tcPr>
            <w:tcW w:w="1247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карабин</w:t>
            </w:r>
          </w:p>
        </w:tc>
      </w:tr>
      <w:tr w:rsidR="005F01E4">
        <w:tc>
          <w:tcPr>
            <w:tcW w:w="2098" w:type="dxa"/>
            <w:vAlign w:val="center"/>
          </w:tcPr>
          <w:p w:rsidR="005F01E4" w:rsidRDefault="00B06B24">
            <w:pPr>
              <w:pStyle w:val="ConsPlusNormal0"/>
            </w:pPr>
            <w:r>
              <w:t>Тренировочные (50 м)</w:t>
            </w:r>
          </w:p>
        </w:tc>
        <w:tc>
          <w:tcPr>
            <w:tcW w:w="1020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672</w:t>
            </w:r>
          </w:p>
        </w:tc>
        <w:tc>
          <w:tcPr>
            <w:tcW w:w="907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336</w:t>
            </w:r>
          </w:p>
        </w:tc>
        <w:tc>
          <w:tcPr>
            <w:tcW w:w="737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907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талреп</w:t>
            </w:r>
          </w:p>
        </w:tc>
        <w:tc>
          <w:tcPr>
            <w:tcW w:w="1247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карабин</w:t>
            </w:r>
          </w:p>
        </w:tc>
      </w:tr>
      <w:tr w:rsidR="005F01E4">
        <w:tc>
          <w:tcPr>
            <w:tcW w:w="2098" w:type="dxa"/>
            <w:vAlign w:val="center"/>
          </w:tcPr>
          <w:p w:rsidR="005F01E4" w:rsidRDefault="00B06B24">
            <w:pPr>
              <w:pStyle w:val="ConsPlusNormal0"/>
            </w:pPr>
            <w:r>
              <w:t>Прочие</w:t>
            </w:r>
          </w:p>
        </w:tc>
        <w:tc>
          <w:tcPr>
            <w:tcW w:w="1927" w:type="dxa"/>
            <w:gridSpan w:val="2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соотношение не нормируется</w:t>
            </w:r>
          </w:p>
        </w:tc>
        <w:tc>
          <w:tcPr>
            <w:tcW w:w="737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есть</w:t>
            </w:r>
          </w:p>
        </w:tc>
        <w:tc>
          <w:tcPr>
            <w:tcW w:w="3062" w:type="dxa"/>
            <w:gridSpan w:val="3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наличие не нормируется</w:t>
            </w:r>
          </w:p>
        </w:tc>
        <w:tc>
          <w:tcPr>
            <w:tcW w:w="1247" w:type="dxa"/>
            <w:vAlign w:val="center"/>
          </w:tcPr>
          <w:p w:rsidR="005F01E4" w:rsidRDefault="00B06B24">
            <w:pPr>
              <w:pStyle w:val="ConsPlusNormal0"/>
              <w:jc w:val="center"/>
            </w:pPr>
            <w:r>
              <w:t>есть</w:t>
            </w:r>
          </w:p>
        </w:tc>
      </w:tr>
      <w:tr w:rsidR="005F01E4">
        <w:tc>
          <w:tcPr>
            <w:tcW w:w="9071" w:type="dxa"/>
            <w:gridSpan w:val="8"/>
          </w:tcPr>
          <w:p w:rsidR="005F01E4" w:rsidRDefault="00B06B24">
            <w:pPr>
              <w:pStyle w:val="ConsPlusNormal0"/>
              <w:ind w:firstLine="283"/>
              <w:jc w:val="both"/>
            </w:pPr>
            <w:bookmarkStart w:id="2" w:name="P186"/>
            <w:bookmarkEnd w:id="2"/>
            <w:r>
              <w:t>&lt;*&gt; Количество волногасителей и поплавков может отличаться от указанного в зависимости от параметров (толщины) элементов конкретного производителя.</w:t>
            </w:r>
          </w:p>
        </w:tc>
      </w:tr>
    </w:tbl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ind w:firstLine="540"/>
        <w:jc w:val="both"/>
      </w:pPr>
      <w:r>
        <w:t>5.3.4 Конфигурация сегментов разделительной дорожки зависит от размеров, профиля и формы отдельных элемент</w:t>
      </w:r>
      <w:r>
        <w:t xml:space="preserve">ов - волногасителей и поплавков. Примеры конфигурации волногасителей для разделительных дорожек различных типов бассейнов показаны на </w:t>
      </w:r>
      <w:hyperlink w:anchor="P280" w:tooltip="Рисунок А.1 - Примеры конфигурации волногасителей">
        <w:r>
          <w:rPr>
            <w:color w:val="0000FF"/>
          </w:rPr>
          <w:t>рисунке А.1</w:t>
        </w:r>
      </w:hyperlink>
      <w:r>
        <w:t>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 xml:space="preserve">5.3.5 Искажение ключевых параметров волногасителей и поплавков, изложенных в </w:t>
      </w:r>
      <w:hyperlink w:anchor="P109" w:tooltip="Параметры элементов разделительных дорожек">
        <w:r>
          <w:rPr>
            <w:color w:val="0000FF"/>
          </w:rPr>
          <w:t>таблице 1</w:t>
        </w:r>
      </w:hyperlink>
      <w:r>
        <w:t>, не допускается.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 xml:space="preserve">Типы волногасителей и поплавков показаны на рисунках 1 и </w:t>
      </w:r>
      <w:hyperlink w:anchor="P204" w:tooltip="Рисунок 2 - Поплавки для разделительных дорожек">
        <w:r>
          <w:rPr>
            <w:color w:val="0000FF"/>
          </w:rPr>
          <w:t>2</w:t>
        </w:r>
      </w:hyperlink>
      <w:r>
        <w:t>.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jc w:val="center"/>
      </w:pPr>
      <w:r>
        <w:rPr>
          <w:noProof/>
          <w:position w:val="-463"/>
        </w:rPr>
        <w:lastRenderedPageBreak/>
        <w:drawing>
          <wp:inline distT="0" distB="0" distL="0" distR="0">
            <wp:extent cx="4406900" cy="601599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601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ind w:firstLine="540"/>
        <w:jc w:val="both"/>
      </w:pPr>
      <w:r>
        <w:t>Тип А - волногаситель для соревновательной разделительной дорожки; тип Б - волногаситель для тренировочной разделительной дорожки; тип В - волногаситель для произвольной р</w:t>
      </w:r>
      <w:r>
        <w:t>азделительной дорожки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jc w:val="center"/>
      </w:pPr>
      <w:r>
        <w:t>Рисунок 1 - Волногасители для разделительных дорожек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5F01E4">
      <w:pPr>
        <w:pStyle w:val="ConsPlusNormal0"/>
        <w:ind w:firstLine="540"/>
        <w:jc w:val="both"/>
      </w:pP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jc w:val="center"/>
      </w:pPr>
      <w:r>
        <w:rPr>
          <w:noProof/>
          <w:position w:val="-403"/>
        </w:rPr>
        <w:lastRenderedPageBreak/>
        <w:drawing>
          <wp:inline distT="0" distB="0" distL="0" distR="0">
            <wp:extent cx="4925060" cy="524827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06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ind w:firstLine="540"/>
        <w:jc w:val="both"/>
      </w:pPr>
      <w:r>
        <w:t>Тип А - поплавок для спортивной разделительной дорожки; тип Б - поплавок для произвольной разделительной дорожки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jc w:val="center"/>
      </w:pPr>
      <w:bookmarkStart w:id="3" w:name="P204"/>
      <w:bookmarkEnd w:id="3"/>
      <w:r>
        <w:t>Рисунок 2 - Поплавки для разделительных дорожек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ind w:firstLine="540"/>
        <w:jc w:val="both"/>
      </w:pPr>
      <w:r>
        <w:t>5.3.6 Для о</w:t>
      </w:r>
      <w:r>
        <w:t>беспечения эластичности разделительной дорожки в сборе применяют амортизирующий элемент - пружину, представленную на рисунке 3.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jc w:val="center"/>
      </w:pPr>
      <w:r>
        <w:rPr>
          <w:noProof/>
          <w:position w:val="-363"/>
        </w:rPr>
        <w:lastRenderedPageBreak/>
        <w:drawing>
          <wp:inline distT="0" distB="0" distL="0" distR="0">
            <wp:extent cx="5029200" cy="474853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74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jc w:val="center"/>
      </w:pPr>
      <w:r>
        <w:rPr>
          <w:i/>
        </w:rPr>
        <w:t>а</w:t>
      </w:r>
      <w:r>
        <w:t xml:space="preserve"> - общий вид; </w:t>
      </w:r>
      <w:r>
        <w:rPr>
          <w:i/>
        </w:rPr>
        <w:t>б</w:t>
      </w:r>
      <w:r>
        <w:t xml:space="preserve"> - параметры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jc w:val="center"/>
      </w:pPr>
      <w:r>
        <w:t>Рисунок 3 - Пружина для разделительных дорожек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ind w:firstLine="540"/>
        <w:jc w:val="both"/>
      </w:pPr>
      <w:r>
        <w:t>5.3.7 Для обеспечения стабильности натяжения р</w:t>
      </w:r>
      <w:r>
        <w:t xml:space="preserve">азделительных дорожек спортивного бассейна в комплект включают натяжитель с храповым механизмом, представленный на </w:t>
      </w:r>
      <w:hyperlink w:anchor="P224" w:tooltip="Рисунок 4 - Натяжитель с храповиком">
        <w:r>
          <w:rPr>
            <w:color w:val="0000FF"/>
          </w:rPr>
          <w:t>рисунке 4</w:t>
        </w:r>
      </w:hyperlink>
      <w:r>
        <w:t>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5.3.8 Установка разделительных дорожек для ванн переливного ти</w:t>
      </w:r>
      <w:r>
        <w:t xml:space="preserve">па требует держателей, приведенных на </w:t>
      </w:r>
      <w:hyperlink w:anchor="P233" w:tooltip="Рисунок 5 - Держатель разделительной дорожки">
        <w:r>
          <w:rPr>
            <w:color w:val="0000FF"/>
          </w:rPr>
          <w:t>рисунке 5</w:t>
        </w:r>
      </w:hyperlink>
      <w:r>
        <w:t>, монтируемых в предустановленные закладные элементы (закладные стаканы) на обходной дорожке.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В других случаях закладные элементы следует располагать на стенках ванны, в нишах, на уровне воды.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jc w:val="center"/>
      </w:pPr>
      <w:r>
        <w:rPr>
          <w:noProof/>
          <w:position w:val="-385"/>
        </w:rPr>
        <w:lastRenderedPageBreak/>
        <w:drawing>
          <wp:inline distT="0" distB="0" distL="0" distR="0">
            <wp:extent cx="4876800" cy="502285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02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jc w:val="center"/>
      </w:pPr>
      <w:r>
        <w:rPr>
          <w:i/>
        </w:rPr>
        <w:t>а</w:t>
      </w:r>
      <w:r>
        <w:t xml:space="preserve"> - общий вид; </w:t>
      </w:r>
      <w:r>
        <w:rPr>
          <w:i/>
        </w:rPr>
        <w:t>б</w:t>
      </w:r>
      <w:r>
        <w:t xml:space="preserve"> - параметры; </w:t>
      </w:r>
      <w:r>
        <w:rPr>
          <w:i/>
        </w:rPr>
        <w:t>1</w:t>
      </w:r>
      <w:r>
        <w:t xml:space="preserve"> - трос; </w:t>
      </w:r>
      <w:r>
        <w:rPr>
          <w:i/>
        </w:rPr>
        <w:t>2</w:t>
      </w:r>
      <w:r>
        <w:t xml:space="preserve"> - кожух защитный;</w:t>
      </w:r>
    </w:p>
    <w:p w:rsidR="005F01E4" w:rsidRDefault="00B06B24">
      <w:pPr>
        <w:pStyle w:val="ConsPlusNormal0"/>
        <w:jc w:val="center"/>
      </w:pPr>
      <w:r>
        <w:rPr>
          <w:i/>
        </w:rPr>
        <w:t>3</w:t>
      </w:r>
      <w:r>
        <w:t xml:space="preserve"> - крюк; </w:t>
      </w:r>
      <w:r>
        <w:rPr>
          <w:i/>
        </w:rPr>
        <w:t>4</w:t>
      </w:r>
      <w:r>
        <w:t xml:space="preserve"> - основание; </w:t>
      </w:r>
      <w:r>
        <w:rPr>
          <w:i/>
        </w:rPr>
        <w:t>5</w:t>
      </w:r>
      <w:r>
        <w:t xml:space="preserve"> - храповик; </w:t>
      </w:r>
      <w:r>
        <w:rPr>
          <w:i/>
        </w:rPr>
        <w:t>6</w:t>
      </w:r>
      <w:r>
        <w:t xml:space="preserve"> - собачка;</w:t>
      </w:r>
    </w:p>
    <w:p w:rsidR="005F01E4" w:rsidRDefault="00B06B24">
      <w:pPr>
        <w:pStyle w:val="ConsPlusNormal0"/>
        <w:jc w:val="center"/>
      </w:pPr>
      <w:r>
        <w:rPr>
          <w:i/>
        </w:rPr>
        <w:t>7</w:t>
      </w:r>
      <w:r>
        <w:t xml:space="preserve"> - пружина кручения; </w:t>
      </w:r>
      <w:r>
        <w:rPr>
          <w:i/>
        </w:rPr>
        <w:t>8</w:t>
      </w:r>
      <w:r>
        <w:t xml:space="preserve"> - скоба; </w:t>
      </w:r>
      <w:r>
        <w:rPr>
          <w:i/>
        </w:rPr>
        <w:t>9</w:t>
      </w:r>
      <w:r>
        <w:t xml:space="preserve"> - винты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jc w:val="center"/>
      </w:pPr>
      <w:bookmarkStart w:id="4" w:name="P224"/>
      <w:bookmarkEnd w:id="4"/>
      <w:r>
        <w:t>Рисунок 4 - Натяжитель с храповиком</w:t>
      </w:r>
    </w:p>
    <w:p w:rsidR="005F01E4" w:rsidRDefault="00B06B24">
      <w:pPr>
        <w:pStyle w:val="ConsPlusNormal0"/>
        <w:jc w:val="center"/>
      </w:pPr>
      <w:r>
        <w:t>для разделительных дорожек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5F01E4">
      <w:pPr>
        <w:pStyle w:val="ConsPlusNormal0"/>
        <w:ind w:firstLine="540"/>
        <w:jc w:val="both"/>
      </w:pP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jc w:val="center"/>
      </w:pPr>
      <w:r>
        <w:rPr>
          <w:noProof/>
          <w:position w:val="-149"/>
        </w:rPr>
        <w:lastRenderedPageBreak/>
        <w:drawing>
          <wp:inline distT="0" distB="0" distL="0" distR="0">
            <wp:extent cx="5059045" cy="203073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045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jc w:val="center"/>
      </w:pPr>
      <w:r>
        <w:rPr>
          <w:i/>
        </w:rPr>
        <w:t>1</w:t>
      </w:r>
      <w:r>
        <w:t xml:space="preserve"> - заглушка; </w:t>
      </w:r>
      <w:r>
        <w:rPr>
          <w:i/>
        </w:rPr>
        <w:t>2</w:t>
      </w:r>
      <w:r>
        <w:t xml:space="preserve"> - пластина держателя; </w:t>
      </w:r>
      <w:r>
        <w:rPr>
          <w:i/>
        </w:rPr>
        <w:t>3</w:t>
      </w:r>
      <w:r>
        <w:t xml:space="preserve"> - труба держателя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jc w:val="center"/>
      </w:pPr>
      <w:bookmarkStart w:id="5" w:name="P233"/>
      <w:bookmarkEnd w:id="5"/>
      <w:r>
        <w:t>Рисунок 5 - Держатель разделительной дорожки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Title0"/>
        <w:ind w:firstLine="540"/>
        <w:jc w:val="both"/>
        <w:outlineLvl w:val="1"/>
      </w:pPr>
      <w:r>
        <w:t>6 Требования безопасности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ind w:firstLine="540"/>
        <w:jc w:val="both"/>
      </w:pPr>
      <w:r>
        <w:t xml:space="preserve">6.1 Все комплектующие разделительной дорожки </w:t>
      </w:r>
      <w:r>
        <w:t>должны иметь безопасные края и поверхности, исключающие механические повреждения при соприкосновении.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 xml:space="preserve">6.2 Элементы крепления разделительной дорожки: зажим, трос, натяжитель и зацеп (вне зависимости от конструкции) - должны быть безопасными для физического </w:t>
      </w:r>
      <w:r>
        <w:t>контакта с занимающимися. Пружинные механизмы, края троса, крюки и зажимы следует располагать внутри защитного кожуха, исключающего зацепление, защемление, порезы, ссадины и царапины.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6.3 Элементы из пластика (волногасители и поплавки) вне зависимости от и</w:t>
      </w:r>
      <w:r>
        <w:t xml:space="preserve">спользованного сырья (АБС-пластик, ПП, ПЭВД) должны иметь гладкую поверхность, обработанные края без задиров, заусенцев и трещин, соответствовать </w:t>
      </w:r>
      <w:hyperlink r:id="rId33" w:tooltip="&quot;ГОСТ Р 50962-96. Государственный стандарт Российской Федерации. Посуда и изделия хозяйственного назначения из пластмасс. Общие технические условия&quot; (введен в действие Постановлением Госстандарта России от 25.09.1996 N 598) (ред. от 16.11.2012) {КонсультантПлю">
        <w:r>
          <w:rPr>
            <w:color w:val="0000FF"/>
          </w:rPr>
          <w:t>ГОСТ Р 50962</w:t>
        </w:r>
      </w:hyperlink>
      <w:r>
        <w:t>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6.4 Эл</w:t>
      </w:r>
      <w:r>
        <w:t>ементы из нержавеющей стали (приспособления для крепления и натяжки дорожки) должны иметь поверхность без задиров и заусенцев.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 xml:space="preserve">6.5 Пластиковые элементы разделительной дорожки следует изготавливать из полимеров с использованием светостабилизаторных добавок (например, СКГП-001 ПО-АЛ310), предназначенных для защиты от УФ-излучения полиэтиленовых и полипропиленовых пленок толщиной от </w:t>
      </w:r>
      <w:r>
        <w:t>15 мкм.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6.6 УФ-стойкость элементов обеспечивается добавкой светостабилизатора в количестве 3,0% масс при производстве волногасителей, что обеспечивает их защиту от воздействия солнечного света на несколько сезонов.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6.7 Механическую устойчивость элементов р</w:t>
      </w:r>
      <w:r>
        <w:t>азделительной дорожки обеспечивают компоненты, применяемые при производстве пластических масс для сохранения ровной и гладкой поверхности деталей.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6.8 Все комплектующие разделительной дорожки не должны выделять при взаимодействии с водой и воздухом бассейн</w:t>
      </w:r>
      <w:r>
        <w:t xml:space="preserve">а в окружающую среду вредных веществ, приведенных в </w:t>
      </w:r>
      <w:hyperlink w:anchor="P288" w:tooltip="[1]">
        <w:r>
          <w:rPr>
            <w:color w:val="0000FF"/>
          </w:rPr>
          <w:t>[1]</w:t>
        </w:r>
      </w:hyperlink>
      <w:r>
        <w:t>.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Title0"/>
        <w:ind w:firstLine="540"/>
        <w:jc w:val="both"/>
        <w:outlineLvl w:val="1"/>
      </w:pPr>
      <w:r>
        <w:t>7 Маркировка, упаковка, транспортирование, хранение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ind w:firstLine="540"/>
        <w:jc w:val="both"/>
      </w:pPr>
      <w:r>
        <w:t xml:space="preserve">7.1 Маркировка пластиковых элементов разделительной дорожки должна соответствовать требованиям </w:t>
      </w:r>
      <w:hyperlink r:id="rId34" w:tooltip="&quot;ГОСТ 33366.1-2015 (ISO 1043-1:2011). Межгосударственный стандарт. Пластмассы. Условные обозначения и сокращения. Часть 1. Основные полимеры и их специальные характеристики&quot; (введен в действие Приказом Росстандарта от 22.10.2015 N 1620-ст) {КонсультантПлюс}">
        <w:r>
          <w:rPr>
            <w:color w:val="0000FF"/>
          </w:rPr>
          <w:t>ГОСТ 33366.1</w:t>
        </w:r>
      </w:hyperlink>
      <w:r>
        <w:t>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7.2 Транспортирование разделительных дорожек следует производить в условиях защиты от внешних воздействий и атмосферных осадков.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7.3 Хранение разделительных дорожек (зап</w:t>
      </w:r>
      <w:r>
        <w:t>асных элементов) разрешается только в помещении с температурным режимом в диапазоне: от 10 °C до 35 °C.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Title0"/>
        <w:ind w:firstLine="540"/>
        <w:jc w:val="both"/>
        <w:outlineLvl w:val="1"/>
      </w:pPr>
      <w:r>
        <w:t>8 Методы испытаний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ind w:firstLine="540"/>
        <w:jc w:val="both"/>
      </w:pPr>
      <w:r>
        <w:t xml:space="preserve">8.1 Метод испытания устойчивости пластиковых элементов разделительной дорожки к агрессивным средам по </w:t>
      </w:r>
      <w:hyperlink r:id="rId35" w:tooltip="&quot;ГОСТ 12020-2018 (ISO 175:2010). Межгосударственный стандарт. Пластмассы. Методы определения стойкости к действию химических сред&quot; (введен в действие Приказом Росстандарта от 27.02.2018 N 108-ст) {КонсультантПлюс}">
        <w:r>
          <w:rPr>
            <w:color w:val="0000FF"/>
          </w:rPr>
          <w:t>ГОСТ 12020</w:t>
        </w:r>
      </w:hyperlink>
      <w:r>
        <w:t>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8.2 Визуально-тактильный метод контроля элементов разделительной дорожки на предмет: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- дефектов литья;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- отсутствия механических повреждений, трещин;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- полного окрашивания в соответствующий цвет;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>- наличия защитного кожуха механиз</w:t>
      </w:r>
      <w:r>
        <w:t>мов крепления и натяжения.</w:t>
      </w:r>
    </w:p>
    <w:p w:rsidR="005F01E4" w:rsidRDefault="00B06B24">
      <w:pPr>
        <w:pStyle w:val="ConsPlusNormal0"/>
        <w:spacing w:before="200"/>
        <w:ind w:firstLine="540"/>
        <w:jc w:val="both"/>
      </w:pPr>
      <w:r>
        <w:t xml:space="preserve">8.3 Методы контроля линейных размеров элементов разделительной дорожки по </w:t>
      </w:r>
      <w:hyperlink r:id="rId36" w:tooltip="&quot;ГОСТ 30534-97. Средства контроля и измерений линейных и угловых размеров. Требования безопасности и методы испытаний&quot; (введен в действие Постановлением Госстандарта РФ от 22.04.1998 N 139) {КонсультантПлюс}">
        <w:r>
          <w:rPr>
            <w:color w:val="0000FF"/>
          </w:rPr>
          <w:t>ГОСТ 30534</w:t>
        </w:r>
      </w:hyperlink>
      <w:r>
        <w:t>.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5F01E4">
      <w:pPr>
        <w:pStyle w:val="ConsPlusNormal0"/>
        <w:ind w:firstLine="540"/>
        <w:jc w:val="both"/>
      </w:pPr>
    </w:p>
    <w:p w:rsidR="005F01E4" w:rsidRDefault="005F01E4">
      <w:pPr>
        <w:pStyle w:val="ConsPlusNormal0"/>
        <w:ind w:firstLine="540"/>
        <w:jc w:val="both"/>
      </w:pPr>
    </w:p>
    <w:p w:rsidR="005F01E4" w:rsidRDefault="005F01E4">
      <w:pPr>
        <w:pStyle w:val="ConsPlusNormal0"/>
        <w:ind w:firstLine="540"/>
        <w:jc w:val="both"/>
      </w:pP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jc w:val="right"/>
        <w:outlineLvl w:val="0"/>
      </w:pPr>
      <w:r>
        <w:rPr>
          <w:b/>
        </w:rPr>
        <w:t>Приложение А</w:t>
      </w:r>
    </w:p>
    <w:p w:rsidR="005F01E4" w:rsidRDefault="00B06B24">
      <w:pPr>
        <w:pStyle w:val="ConsPlusNormal0"/>
        <w:jc w:val="right"/>
      </w:pPr>
      <w:r>
        <w:rPr>
          <w:b/>
        </w:rPr>
        <w:t>(рекомендуемое)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Title0"/>
        <w:jc w:val="center"/>
      </w:pPr>
      <w:r>
        <w:t>ОБРАЗЦЫ ВОЛНОГАСИТЕЛЕЙ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ind w:firstLine="540"/>
        <w:jc w:val="both"/>
      </w:pPr>
      <w:r>
        <w:t>Примеры конфигурации элементов (волногасители, поплавки) разделительных дорожек для различных типов бассейнов приведены на рисунке А.1.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jc w:val="center"/>
      </w:pPr>
      <w:r>
        <w:rPr>
          <w:noProof/>
          <w:position w:val="-483"/>
        </w:rPr>
        <w:drawing>
          <wp:inline distT="0" distB="0" distL="0" distR="0">
            <wp:extent cx="4937760" cy="626681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626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jc w:val="center"/>
      </w:pPr>
      <w:r>
        <w:rPr>
          <w:i/>
        </w:rPr>
        <w:t>а</w:t>
      </w:r>
      <w:r>
        <w:t xml:space="preserve"> - конфигурация волногасителей для соревновательной</w:t>
      </w:r>
    </w:p>
    <w:p w:rsidR="005F01E4" w:rsidRDefault="00B06B24">
      <w:pPr>
        <w:pStyle w:val="ConsPlusNormal0"/>
        <w:jc w:val="center"/>
      </w:pPr>
      <w:r>
        <w:t xml:space="preserve">разделительной дорожки; </w:t>
      </w:r>
      <w:r>
        <w:rPr>
          <w:i/>
        </w:rPr>
        <w:t>б</w:t>
      </w:r>
      <w:r>
        <w:t xml:space="preserve"> - конфигурация волногасителей</w:t>
      </w:r>
    </w:p>
    <w:p w:rsidR="005F01E4" w:rsidRDefault="00B06B24">
      <w:pPr>
        <w:pStyle w:val="ConsPlusNormal0"/>
        <w:jc w:val="center"/>
      </w:pPr>
      <w:r>
        <w:t xml:space="preserve">для тренировочной разделительной дорожки; </w:t>
      </w:r>
      <w:r>
        <w:rPr>
          <w:i/>
        </w:rPr>
        <w:t>в</w:t>
      </w:r>
      <w:r>
        <w:t xml:space="preserve"> - конфигурация</w:t>
      </w:r>
    </w:p>
    <w:p w:rsidR="005F01E4" w:rsidRDefault="00B06B24">
      <w:pPr>
        <w:pStyle w:val="ConsPlusNormal0"/>
        <w:jc w:val="center"/>
      </w:pPr>
      <w:r>
        <w:t>волногасителей для прочих разделительных дорожек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Normal0"/>
        <w:jc w:val="center"/>
      </w:pPr>
      <w:bookmarkStart w:id="6" w:name="P280"/>
      <w:bookmarkEnd w:id="6"/>
      <w:r>
        <w:t>Рисунок А.1 - Примеры конфигурации волн</w:t>
      </w:r>
      <w:r>
        <w:t>огасителей</w:t>
      </w:r>
    </w:p>
    <w:p w:rsidR="005F01E4" w:rsidRDefault="005F01E4">
      <w:pPr>
        <w:pStyle w:val="ConsPlusNormal0"/>
        <w:ind w:firstLine="540"/>
        <w:jc w:val="both"/>
      </w:pPr>
    </w:p>
    <w:p w:rsidR="005F01E4" w:rsidRDefault="005F01E4">
      <w:pPr>
        <w:pStyle w:val="ConsPlusNormal0"/>
        <w:ind w:firstLine="540"/>
        <w:jc w:val="both"/>
      </w:pPr>
    </w:p>
    <w:p w:rsidR="005F01E4" w:rsidRDefault="005F01E4">
      <w:pPr>
        <w:pStyle w:val="ConsPlusNormal0"/>
        <w:ind w:firstLine="540"/>
        <w:jc w:val="both"/>
      </w:pPr>
    </w:p>
    <w:p w:rsidR="005F01E4" w:rsidRDefault="005F01E4">
      <w:pPr>
        <w:pStyle w:val="ConsPlusNormal0"/>
        <w:ind w:firstLine="540"/>
        <w:jc w:val="both"/>
      </w:pPr>
    </w:p>
    <w:p w:rsidR="005F01E4" w:rsidRDefault="005F01E4">
      <w:pPr>
        <w:pStyle w:val="ConsPlusNormal0"/>
        <w:ind w:firstLine="540"/>
        <w:jc w:val="both"/>
      </w:pPr>
    </w:p>
    <w:p w:rsidR="005F01E4" w:rsidRDefault="00B06B24">
      <w:pPr>
        <w:pStyle w:val="ConsPlusTitle0"/>
        <w:jc w:val="center"/>
        <w:outlineLvl w:val="0"/>
      </w:pPr>
      <w:r>
        <w:t>БИБЛИОГРАФИЯ</w:t>
      </w:r>
    </w:p>
    <w:p w:rsidR="005F01E4" w:rsidRDefault="005F01E4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6520"/>
      </w:tblGrid>
      <w:tr w:rsidR="005F01E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F01E4" w:rsidRDefault="00B06B24">
            <w:pPr>
              <w:pStyle w:val="ConsPlusNormal0"/>
            </w:pPr>
            <w:bookmarkStart w:id="7" w:name="P288"/>
            <w:bookmarkEnd w:id="7"/>
            <w:r>
              <w:t>[1]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F01E4" w:rsidRDefault="00B06B24">
            <w:pPr>
              <w:pStyle w:val="ConsPlusNormal0"/>
            </w:pPr>
            <w:hyperlink r:id="rId38" w:tooltip="Постановление Главного государственного санитарного врача РФ от 24.12.2020 N 44 (ред. от 20.03.2024) &quot;Об утверждении санитарных правил СП 2.1.3678-20 &quot;Санитарно-эпидемиологические требования к эксплуатации помещений, зданий, сооружений, оборудования и транспор">
              <w:r>
                <w:rPr>
                  <w:color w:val="0000FF"/>
                </w:rPr>
                <w:t>СП 2.1.3678-20</w:t>
              </w:r>
            </w:hyperlink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5F01E4" w:rsidRDefault="00B06B24">
            <w:pPr>
              <w:pStyle w:val="ConsPlusNormal0"/>
              <w:jc w:val="both"/>
            </w:pPr>
            <w:r>
      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      </w:r>
          </w:p>
        </w:tc>
      </w:tr>
    </w:tbl>
    <w:p w:rsidR="005F01E4" w:rsidRDefault="005F01E4">
      <w:pPr>
        <w:pStyle w:val="ConsPlusNormal0"/>
        <w:ind w:firstLine="540"/>
        <w:jc w:val="both"/>
      </w:pPr>
    </w:p>
    <w:p w:rsidR="005F01E4" w:rsidRDefault="005F01E4">
      <w:pPr>
        <w:pStyle w:val="ConsPlusNormal0"/>
        <w:ind w:firstLine="540"/>
        <w:jc w:val="both"/>
      </w:pPr>
    </w:p>
    <w:p w:rsidR="005F01E4" w:rsidRDefault="005F01E4">
      <w:pPr>
        <w:pStyle w:val="ConsPlusNormal0"/>
        <w:ind w:firstLine="540"/>
        <w:jc w:val="both"/>
      </w:pPr>
    </w:p>
    <w:p w:rsidR="005F01E4" w:rsidRDefault="005F01E4">
      <w:pPr>
        <w:pStyle w:val="ConsPlusNormal0"/>
        <w:ind w:firstLine="540"/>
        <w:jc w:val="both"/>
      </w:pPr>
    </w:p>
    <w:p w:rsidR="005F01E4" w:rsidRDefault="005F01E4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2835"/>
      </w:tblGrid>
      <w:tr w:rsidR="005F01E4"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1E4" w:rsidRDefault="00B06B24">
            <w:pPr>
              <w:pStyle w:val="ConsPlusNormal0"/>
            </w:pPr>
            <w:r>
              <w:t>УДК 797.2.022:</w:t>
            </w:r>
            <w:r>
              <w:t>725.742:006.352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1E4" w:rsidRDefault="00B06B24">
            <w:pPr>
              <w:pStyle w:val="ConsPlusNormal0"/>
              <w:jc w:val="right"/>
            </w:pPr>
            <w:r>
              <w:t xml:space="preserve">ОКС </w:t>
            </w:r>
            <w:hyperlink r:id="rId39" w:tooltip="&quot;ОК 001-2021 (ИСО МКС). Общероссийский классификатор стандартов&quot; (утв. приказом Росстандарта от 19.11.2021 N 1506-ст) (ред. от 15.08.2023) {КонсультантПлюс}">
              <w:r>
                <w:rPr>
                  <w:color w:val="0000FF"/>
                </w:rPr>
                <w:t>97.220.40</w:t>
              </w:r>
            </w:hyperlink>
          </w:p>
        </w:tc>
      </w:tr>
      <w:tr w:rsidR="005F01E4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1E4" w:rsidRDefault="00B06B24">
            <w:pPr>
              <w:pStyle w:val="ConsPlusNormal0"/>
              <w:jc w:val="both"/>
            </w:pPr>
            <w:r>
              <w:t>Ключевые слова: разделительная дорожка, волногаситель, поплавок, храповик, трос, задир, заусенец, закладной стакан, держатель разделительной дорожки</w:t>
            </w:r>
          </w:p>
        </w:tc>
      </w:tr>
    </w:tbl>
    <w:p w:rsidR="005F01E4" w:rsidRDefault="005F01E4">
      <w:pPr>
        <w:pStyle w:val="ConsPlusNormal0"/>
        <w:ind w:firstLine="540"/>
        <w:jc w:val="both"/>
      </w:pPr>
    </w:p>
    <w:p w:rsidR="005F01E4" w:rsidRDefault="005F01E4">
      <w:pPr>
        <w:pStyle w:val="ConsPlusNormal0"/>
        <w:ind w:firstLine="540"/>
        <w:jc w:val="both"/>
      </w:pPr>
    </w:p>
    <w:p w:rsidR="005F01E4" w:rsidRDefault="005F01E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F01E4">
      <w:headerReference w:type="default" r:id="rId40"/>
      <w:footerReference w:type="default" r:id="rId41"/>
      <w:headerReference w:type="first" r:id="rId42"/>
      <w:footerReference w:type="first" r:id="rId4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B24" w:rsidRDefault="00B06B24">
      <w:r>
        <w:separator/>
      </w:r>
    </w:p>
  </w:endnote>
  <w:endnote w:type="continuationSeparator" w:id="0">
    <w:p w:rsidR="00B06B24" w:rsidRDefault="00B0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1E4" w:rsidRDefault="005F01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F01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F01E4" w:rsidRDefault="00B06B2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F01E4" w:rsidRDefault="00B06B2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F01E4" w:rsidRDefault="00B06B2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B68DA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B68DA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5F01E4" w:rsidRDefault="00B06B2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1E4" w:rsidRDefault="005F01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F01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F01E4" w:rsidRDefault="00B06B2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F01E4" w:rsidRDefault="00B06B2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F01E4" w:rsidRDefault="00B06B2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B68D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B68DA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5F01E4" w:rsidRDefault="00B06B2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B24" w:rsidRDefault="00B06B24">
      <w:r>
        <w:separator/>
      </w:r>
    </w:p>
  </w:footnote>
  <w:footnote w:type="continuationSeparator" w:id="0">
    <w:p w:rsidR="00B06B24" w:rsidRDefault="00B06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F01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F01E4" w:rsidRDefault="00B06B2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"ГОСТ Р 70016-2022. Национальный стандарт Российской Федерации. Бассейны для плавания. Дорожки разделительные. Техническ...</w:t>
          </w:r>
        </w:p>
      </w:tc>
      <w:tc>
        <w:tcPr>
          <w:tcW w:w="2300" w:type="pct"/>
          <w:vAlign w:val="center"/>
        </w:tcPr>
        <w:p w:rsidR="005F01E4" w:rsidRDefault="00B06B2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22.07.2025</w:t>
          </w:r>
        </w:p>
      </w:tc>
    </w:tr>
  </w:tbl>
  <w:p w:rsidR="005F01E4" w:rsidRDefault="005F01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F01E4" w:rsidRDefault="005F01E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F01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F01E4" w:rsidRDefault="00B06B2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"ГОСТ Р 70016-2022. Национальный стандарт Российской Федерации. Бассейны для плавания. Дорожки разделительные. Техническ...</w:t>
          </w:r>
        </w:p>
      </w:tc>
      <w:tc>
        <w:tcPr>
          <w:tcW w:w="2300" w:type="pct"/>
          <w:vAlign w:val="center"/>
        </w:tcPr>
        <w:p w:rsidR="005F01E4" w:rsidRDefault="00B06B2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22.07.2025</w:t>
          </w:r>
        </w:p>
      </w:tc>
    </w:tr>
  </w:tbl>
  <w:p w:rsidR="005F01E4" w:rsidRDefault="005F01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F01E4" w:rsidRDefault="005F01E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1E4"/>
    <w:rsid w:val="005F01E4"/>
    <w:rsid w:val="00B06B24"/>
    <w:rsid w:val="00CB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F3001-4871-4689-AFEA-E052763E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23307&amp;dst=100006" TargetMode="External"/><Relationship Id="rId18" Type="http://schemas.openxmlformats.org/officeDocument/2006/relationships/hyperlink" Target="https://login.consultant.ru/link/?req=doc&amp;base=STR&amp;n=9696" TargetMode="External"/><Relationship Id="rId26" Type="http://schemas.openxmlformats.org/officeDocument/2006/relationships/hyperlink" Target="https://login.consultant.ru/link/?req=doc&amp;base=STR&amp;n=26756" TargetMode="External"/><Relationship Id="rId39" Type="http://schemas.openxmlformats.org/officeDocument/2006/relationships/hyperlink" Target="https://login.consultant.ru/link/?req=doc&amp;base=LAW&amp;n=456140&amp;dst=10142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OTN&amp;n=16304" TargetMode="External"/><Relationship Id="rId34" Type="http://schemas.openxmlformats.org/officeDocument/2006/relationships/hyperlink" Target="https://login.consultant.ru/link/?req=doc&amp;base=OTN&amp;n=42466" TargetMode="External"/><Relationship Id="rId42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56140&amp;dst=101429" TargetMode="External"/><Relationship Id="rId17" Type="http://schemas.openxmlformats.org/officeDocument/2006/relationships/hyperlink" Target="https://login.consultant.ru/link/?req=doc&amp;base=OTN&amp;n=35453" TargetMode="External"/><Relationship Id="rId25" Type="http://schemas.openxmlformats.org/officeDocument/2006/relationships/hyperlink" Target="https://login.consultant.ru/link/?req=doc&amp;base=OTN&amp;n=35453" TargetMode="External"/><Relationship Id="rId33" Type="http://schemas.openxmlformats.org/officeDocument/2006/relationships/hyperlink" Target="https://login.consultant.ru/link/?req=doc&amp;base=OTN&amp;n=16304" TargetMode="External"/><Relationship Id="rId38" Type="http://schemas.openxmlformats.org/officeDocument/2006/relationships/hyperlink" Target="https://login.consultant.ru/link/?req=doc&amp;base=LAW&amp;n=480812&amp;dst=1000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OTN&amp;n=27496" TargetMode="External"/><Relationship Id="rId20" Type="http://schemas.openxmlformats.org/officeDocument/2006/relationships/hyperlink" Target="https://login.consultant.ru/link/?req=doc&amp;base=OTN&amp;n=42466" TargetMode="External"/><Relationship Id="rId29" Type="http://schemas.openxmlformats.org/officeDocument/2006/relationships/image" Target="media/image3.png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23307" TargetMode="External"/><Relationship Id="rId24" Type="http://schemas.openxmlformats.org/officeDocument/2006/relationships/hyperlink" Target="https://login.consultant.ru/link/?req=doc&amp;base=STR&amp;n=9696" TargetMode="External"/><Relationship Id="rId32" Type="http://schemas.openxmlformats.org/officeDocument/2006/relationships/image" Target="media/image6.png"/><Relationship Id="rId37" Type="http://schemas.openxmlformats.org/officeDocument/2006/relationships/image" Target="media/image7.jpeg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www.rst.gov.ru" TargetMode="External"/><Relationship Id="rId23" Type="http://schemas.openxmlformats.org/officeDocument/2006/relationships/hyperlink" Target="https://login.consultant.ru/link/?req=doc&amp;base=STR&amp;n=26809" TargetMode="External"/><Relationship Id="rId28" Type="http://schemas.openxmlformats.org/officeDocument/2006/relationships/image" Target="media/image2.png"/><Relationship Id="rId36" Type="http://schemas.openxmlformats.org/officeDocument/2006/relationships/hyperlink" Target="https://login.consultant.ru/link/?req=doc&amp;base=STR&amp;n=12085" TargetMode="External"/><Relationship Id="rId10" Type="http://schemas.openxmlformats.org/officeDocument/2006/relationships/hyperlink" Target="https://login.consultant.ru/link/?req=doc&amp;base=STR&amp;n=33846&amp;dst=100009" TargetMode="External"/><Relationship Id="rId19" Type="http://schemas.openxmlformats.org/officeDocument/2006/relationships/hyperlink" Target="https://login.consultant.ru/link/?req=doc&amp;base=STR&amp;n=12085" TargetMode="External"/><Relationship Id="rId31" Type="http://schemas.openxmlformats.org/officeDocument/2006/relationships/image" Target="media/image5.jpeg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STR&amp;n=34828" TargetMode="External"/><Relationship Id="rId14" Type="http://schemas.openxmlformats.org/officeDocument/2006/relationships/hyperlink" Target="https://login.consultant.ru/link/?req=doc&amp;base=LAW&amp;n=372899&amp;dst=100282" TargetMode="External"/><Relationship Id="rId22" Type="http://schemas.openxmlformats.org/officeDocument/2006/relationships/hyperlink" Target="https://login.consultant.ru/link/?req=doc&amp;base=STR&amp;n=26756" TargetMode="External"/><Relationship Id="rId27" Type="http://schemas.openxmlformats.org/officeDocument/2006/relationships/hyperlink" Target="https://login.consultant.ru/link/?req=doc&amp;base=STR&amp;n=26809" TargetMode="External"/><Relationship Id="rId30" Type="http://schemas.openxmlformats.org/officeDocument/2006/relationships/image" Target="media/image4.jpeg"/><Relationship Id="rId35" Type="http://schemas.openxmlformats.org/officeDocument/2006/relationships/hyperlink" Target="https://login.consultant.ru/link/?req=doc&amp;base=OTN&amp;n=27496" TargetMode="External"/><Relationship Id="rId43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3632</Words>
  <Characters>20704</Characters>
  <Application>Microsoft Office Word</Application>
  <DocSecurity>0</DocSecurity>
  <Lines>172</Lines>
  <Paragraphs>48</Paragraphs>
  <ScaleCrop>false</ScaleCrop>
  <Company>КонсультантПлюс Версия 4025.00.30</Company>
  <LinksUpToDate>false</LinksUpToDate>
  <CharactersWithSpaces>24288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"ГОСТ Р 70016-2022. Национальный стандарт Российской Федерации. Бассейны для плавания. Дорожки разделительные. Технические условия"
(утв. и введен в действие Приказом Росстандарта от 15.02.2022 N 73-ст)</dc:title>
  <cp:lastModifiedBy>Потоцкая Елена Васильевна</cp:lastModifiedBy>
  <cp:revision>2</cp:revision>
  <dcterms:created xsi:type="dcterms:W3CDTF">2025-07-22T08:10:00Z</dcterms:created>
  <dcterms:modified xsi:type="dcterms:W3CDTF">2025-07-22T08:10:00Z</dcterms:modified>
</cp:coreProperties>
</file>